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p>
    <w:p>
      <w:pPr>
        <w:spacing w:line="600" w:lineRule="exact"/>
        <w:rPr>
          <w:sz w:val="32"/>
          <w:szCs w:val="32"/>
        </w:rPr>
      </w:pPr>
    </w:p>
    <w:p>
      <w:pPr>
        <w:spacing w:line="600" w:lineRule="exact"/>
        <w:rPr>
          <w:sz w:val="32"/>
          <w:szCs w:val="32"/>
        </w:rPr>
      </w:pPr>
    </w:p>
    <w:p>
      <w:pPr>
        <w:spacing w:line="620" w:lineRule="exact"/>
        <w:rPr>
          <w:rFonts w:eastAsia="长城小标宋体"/>
          <w:spacing w:val="120"/>
          <w:sz w:val="50"/>
        </w:rPr>
      </w:pPr>
      <w:r>
        <w:rPr>
          <w:rFonts w:eastAsia="创艺简标宋"/>
          <w:bCs/>
          <w:spacing w:val="30"/>
          <w:sz w:val="20"/>
        </w:rPr>
        <w:pict>
          <v:shape id="_x0000_s2050" o:spid="_x0000_s2050" o:spt="136" type="#_x0000_t136" style="position:absolute;left:0pt;margin-left:9pt;margin-top:11.4pt;height:38.25pt;width:419.25pt;rotation:4380f;z-index:251659264;mso-width-relative:page;mso-height-relative:page;" fillcolor="#FF0000" filled="t" stroked="t" coordsize="21600,21600">
            <v:path/>
            <v:fill on="t" focussize="0,0"/>
            <v:stroke weight="1.25pt" color="#FF0000"/>
            <v:imagedata o:title=""/>
            <o:lock v:ext="edit"/>
            <v:textpath on="t" fitshape="t" fitpath="t" trim="t" xscale="f" string="北京建筑大学研究生院文件" style="font-family:方正小标宋简体;font-size:32pt;v-text-align:center;"/>
          </v:shape>
        </w:pict>
      </w: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500" w:lineRule="exact"/>
        <w:jc w:val="center"/>
        <w:rPr>
          <w:rFonts w:ascii="仿宋_GB2312" w:eastAsia="仿宋_GB2312"/>
          <w:sz w:val="32"/>
          <w:szCs w:val="32"/>
        </w:rPr>
      </w:pPr>
      <w:r>
        <w:rPr>
          <w:rFonts w:hint="eastAsia" w:ascii="仿宋_GB2312" w:eastAsia="仿宋_GB2312"/>
          <w:spacing w:val="-40"/>
          <w:sz w:val="32"/>
          <w:szCs w:val="32"/>
        </w:rPr>
        <w:t>研字</w:t>
      </w:r>
      <w:r>
        <w:rPr>
          <w:rFonts w:hint="eastAsia" w:ascii="仿宋_GB2312" w:eastAsia="仿宋_GB2312"/>
          <w:sz w:val="32"/>
          <w:szCs w:val="32"/>
        </w:rPr>
        <w:t>〔2023〕38号</w:t>
      </w: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216535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17.05pt;height:0pt;width:441pt;z-index:251660288;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5ZC/XAAAABwEAAA8AAAAAAAAAAQAgAAAAIgAAAGRycy9kb3ducmV2LnhtbFBLAQIUABQAAAAI&#10;AIdO4kA06h1o7gEAANkDAAAOAAAAAAAAAAEAIAAAACYBAABkcnMvZTJvRG9jLnhtbFBLBQYAAAAA&#10;BgAGAFkBAACG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eastAsia="方正小标宋简体"/>
          <w:b/>
          <w:sz w:val="44"/>
          <w:szCs w:val="44"/>
        </w:rPr>
      </w:pPr>
    </w:p>
    <w:p>
      <w:pPr>
        <w:spacing w:line="560" w:lineRule="exact"/>
        <w:jc w:val="center"/>
        <w:rPr>
          <w:rFonts w:eastAsia="方正小标宋简体"/>
          <w:b/>
          <w:sz w:val="44"/>
          <w:szCs w:val="44"/>
        </w:rPr>
      </w:pPr>
      <w:r>
        <w:rPr>
          <w:rFonts w:hint="eastAsia" w:eastAsia="方正小标宋简体"/>
          <w:b/>
          <w:sz w:val="44"/>
          <w:szCs w:val="44"/>
        </w:rPr>
        <w:t>关于组织开展2022/2023学年第二学期</w:t>
      </w:r>
    </w:p>
    <w:p>
      <w:pPr>
        <w:spacing w:line="560" w:lineRule="exact"/>
        <w:jc w:val="center"/>
        <w:rPr>
          <w:rFonts w:ascii="方正小标宋简体" w:eastAsia="方正小标宋简体"/>
          <w:b/>
          <w:sz w:val="44"/>
          <w:szCs w:val="44"/>
        </w:rPr>
      </w:pPr>
      <w:r>
        <w:rPr>
          <w:rFonts w:hint="eastAsia" w:eastAsia="方正小标宋简体"/>
          <w:b/>
          <w:sz w:val="44"/>
          <w:szCs w:val="44"/>
        </w:rPr>
        <w:t>硕士研究生网络平台课程学习的通</w:t>
      </w:r>
      <w:bookmarkStart w:id="0" w:name="_GoBack"/>
      <w:bookmarkEnd w:id="0"/>
      <w:r>
        <w:rPr>
          <w:rFonts w:hint="eastAsia" w:eastAsia="方正小标宋简体"/>
          <w:b/>
          <w:sz w:val="44"/>
          <w:szCs w:val="44"/>
        </w:rPr>
        <w:t>知</w:t>
      </w: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促进优秀课程资源利用与共享，构建全面提升研究生综合素质和能力的课程体系，学校引入系列精品课程，拓展网络学习资源。本学期面向2022级硕士研究生拟开设《工程伦理》、《科研论文写作指导》、《研究生的压力应对与健康心理》、《英文科技论文写作与学术报告》、《创业启程》、《中国建筑史——元明清与民居》、《中国建筑史——史前至两宋辽金》、《大数据与城市规划》8门网络平台课程，现将课程学习的方式及要求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一、课程类别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1.《工程伦理》网络课程：2022级部分专业硕士研究生学位必修课。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七选一”网络课程：2022级全体硕士研究生学位必修课，需在《科研论文写作指导》、《研究生的压力应对与健康心理》、《英文科技论文写作与学术报告》、《创业启程》、《中国建筑史——元明清与民居》、《中国建筑史——史前至两宋辽金》、《大数据与城市规划》7门课程中任选1门完成网络平台课程的学习。</w:t>
      </w:r>
    </w:p>
    <w:p>
      <w:pPr>
        <w:pStyle w:val="5"/>
        <w:widowControl/>
        <w:shd w:val="clear" w:color="auto" w:fill="FFFFFF"/>
        <w:spacing w:beforeAutospacing="0" w:afterAutospacing="0" w:line="560" w:lineRule="exact"/>
        <w:ind w:firstLine="643" w:firstLineChars="200"/>
        <w:jc w:val="both"/>
        <w:rPr>
          <w:rFonts w:ascii="仿宋_GB2312" w:eastAsia="仿宋_GB2312"/>
          <w:b/>
          <w:bCs/>
          <w:kern w:val="2"/>
          <w:sz w:val="32"/>
          <w:szCs w:val="32"/>
        </w:rPr>
      </w:pPr>
      <w:r>
        <w:rPr>
          <w:rFonts w:hint="eastAsia" w:ascii="仿宋_GB2312" w:eastAsia="仿宋_GB2312"/>
          <w:b/>
          <w:bCs/>
          <w:kern w:val="2"/>
          <w:sz w:val="32"/>
          <w:szCs w:val="32"/>
        </w:rPr>
        <w:t>学校已根据2022级硕士研究生的个人培养计划，将以上8门课程的上课名单导入网络课程学习平台中。学生登录学习平台后，显示的课程即为本人培养计划中选择的课程，直接进入课程上课即可，无需再次选择。</w:t>
      </w:r>
    </w:p>
    <w:p>
      <w:pPr>
        <w:spacing w:line="560" w:lineRule="exact"/>
        <w:ind w:firstLine="640" w:firstLineChars="200"/>
        <w:rPr>
          <w:rFonts w:ascii="楷体" w:hAnsi="楷体" w:eastAsia="黑体"/>
          <w:sz w:val="32"/>
          <w:szCs w:val="32"/>
        </w:rPr>
      </w:pPr>
      <w:r>
        <w:rPr>
          <w:rFonts w:hint="eastAsia" w:ascii="黑体" w:hAnsi="黑体" w:eastAsia="黑体"/>
          <w:sz w:val="32"/>
          <w:szCs w:val="32"/>
        </w:rPr>
        <w:t>二、课程学习方式</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课程采取在线学习方式。研究生在规定时间登录网络课程学习平台，自主学习教学视频并完成在线考试。</w:t>
      </w:r>
    </w:p>
    <w:p>
      <w:pPr>
        <w:spacing w:line="560" w:lineRule="exact"/>
        <w:ind w:left="638" w:leftChars="304"/>
        <w:rPr>
          <w:rFonts w:ascii="黑体" w:hAnsi="黑体" w:eastAsia="黑体"/>
          <w:sz w:val="32"/>
          <w:szCs w:val="32"/>
        </w:rPr>
      </w:pPr>
      <w:r>
        <w:rPr>
          <w:rFonts w:hint="eastAsia" w:ascii="黑体" w:hAnsi="黑体" w:eastAsia="黑体"/>
          <w:sz w:val="32"/>
          <w:szCs w:val="32"/>
        </w:rPr>
        <w:t>三、时间要求</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1. 网络平台课程视频教学内容、作业完成时间：2023年5月8日至7月7日。</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2. 在线考试时间：2023年5月15日至7月7日。</w:t>
      </w: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eastAsia="黑体"/>
          <w:b/>
          <w:sz w:val="32"/>
          <w:szCs w:val="32"/>
        </w:rPr>
      </w:pPr>
      <w:r>
        <w:rPr>
          <w:rFonts w:hint="eastAsia" w:ascii="黑体" w:hAnsi="黑体" w:eastAsia="黑体"/>
          <w:sz w:val="32"/>
          <w:szCs w:val="32"/>
        </w:rPr>
        <w:t>四、考核标准</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1. 课程视频（40%）：研究生必须完成所有课程视频，方可参加最后考试。</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2. 在线作业（20%）：在学习教学视频过程中，完成章节知识点测试。</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3. 在线考试（40%）：在规定时间完成在线考试。（</w:t>
      </w:r>
      <w:r>
        <w:rPr>
          <w:rFonts w:hint="eastAsia" w:ascii="仿宋_GB2312" w:eastAsia="仿宋_GB2312"/>
          <w:b/>
          <w:bCs/>
          <w:kern w:val="2"/>
          <w:sz w:val="32"/>
          <w:szCs w:val="32"/>
          <w:u w:val="single"/>
        </w:rPr>
        <w:t>注意：考试总时长为120分钟，从进入考试起开始计时，中途退出考试系统仍在计时，超过120分钟系统将自动提交考卷，请各位研究生安排好时间后再开始考试。</w:t>
      </w:r>
      <w:r>
        <w:rPr>
          <w:rFonts w:hint="eastAsia" w:ascii="仿宋_GB2312" w:eastAsia="仿宋_GB2312"/>
          <w:kern w:val="2"/>
          <w:sz w:val="32"/>
          <w:szCs w:val="32"/>
        </w:rPr>
        <w:t>）</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以上三项内容构成总评成绩，总评成绩为60分及以上者，通过此门课程，获得相应学分。</w:t>
      </w:r>
    </w:p>
    <w:p>
      <w:pPr>
        <w:spacing w:line="560" w:lineRule="exact"/>
        <w:ind w:left="640"/>
        <w:rPr>
          <w:rFonts w:ascii="黑体" w:hAnsi="黑体" w:eastAsia="黑体"/>
          <w:sz w:val="32"/>
          <w:szCs w:val="32"/>
        </w:rPr>
      </w:pPr>
      <w:r>
        <w:rPr>
          <w:rFonts w:hint="eastAsia" w:ascii="黑体" w:hAnsi="黑体" w:eastAsia="黑体"/>
          <w:sz w:val="32"/>
          <w:szCs w:val="32"/>
        </w:rPr>
        <w:t>五、学习纪律</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 选课的研究生（见附件</w:t>
      </w:r>
      <w:r>
        <w:rPr>
          <w:rFonts w:ascii="仿宋_GB2312" w:eastAsia="仿宋_GB2312"/>
          <w:bCs/>
          <w:sz w:val="32"/>
          <w:szCs w:val="32"/>
        </w:rPr>
        <w:t>1</w:t>
      </w:r>
      <w:r>
        <w:rPr>
          <w:rFonts w:hint="eastAsia" w:ascii="仿宋_GB2312" w:eastAsia="仿宋_GB2312"/>
          <w:bCs/>
          <w:sz w:val="32"/>
          <w:szCs w:val="32"/>
        </w:rPr>
        <w:t>）应遵守课程学习纪律和考试纪律，按照课程学习及考试的相关规定，完成线上学习与考试，获得相应的学分。</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 未在规定时间内完成课程学习或本次考试总评成绩低于60分者，须按照学校规定申请重修重考，参加下一次课程学习，通过后成绩将标注为“重修”或“重考”。</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 根据《教育部等五部门关于加强普通高等学校在线开放课程教学管理的若干意见》相关要求，学校将加强网络平台课程学习的检查与监督。严禁出借个人学习账号给他人使用，严禁通过非法软件或委托第三方提供的人工或技术服务等方式获取学习记录和考试成绩的“刷课”“替课”“刷考”“替考”行为，严禁以任何形式传播课程考试内容及答案。</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4. 违规违纪行为一经查实，学校将根据《北京建筑大学全日制硕士研究生管理办法》、《北京建筑大学非全日制硕士研究生管理办法》、《北京建筑大学学生违纪处分管理规定》等文件要求，取消涉事学生课程成绩，视情节给予警告、严重警告、记过、留校察看、开除学籍等相应处分，并记入学生档案。对参与组织“刷课”“替课”“刷考”“替考”并构成违法行为的学生，由有关部门依法追究法律责任。</w:t>
      </w:r>
    </w:p>
    <w:p>
      <w:pPr>
        <w:spacing w:line="560" w:lineRule="exact"/>
        <w:ind w:left="640"/>
        <w:rPr>
          <w:rFonts w:ascii="黑体" w:hAnsi="黑体" w:eastAsia="黑体"/>
          <w:sz w:val="32"/>
          <w:szCs w:val="32"/>
        </w:rPr>
      </w:pPr>
      <w:r>
        <w:rPr>
          <w:rFonts w:hint="eastAsia" w:ascii="黑体" w:hAnsi="黑体" w:eastAsia="黑体"/>
          <w:sz w:val="32"/>
          <w:szCs w:val="32"/>
        </w:rPr>
        <w:t>六、课程学习操作方法</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u w:val="single"/>
        </w:rPr>
      </w:pPr>
      <w:r>
        <w:rPr>
          <w:rFonts w:hint="eastAsia" w:ascii="仿宋_GB2312" w:eastAsia="仿宋_GB2312"/>
          <w:kern w:val="2"/>
          <w:sz w:val="32"/>
          <w:szCs w:val="32"/>
        </w:rPr>
        <w:t>1.身份绑定：微信搜索“雨课堂”公众号-关注公众号-点击“更多”-身份绑定-选择“北京建筑大学研究生院”，根据页面提示输入账号密码（账号为学号，</w:t>
      </w:r>
      <w:r>
        <w:rPr>
          <w:rFonts w:hint="eastAsia" w:ascii="仿宋_GB2312" w:eastAsia="仿宋_GB2312"/>
          <w:color w:val="000000" w:themeColor="text1"/>
          <w:kern w:val="2"/>
          <w:sz w:val="32"/>
          <w:szCs w:val="32"/>
          <w14:textFill>
            <w14:solidFill>
              <w14:schemeClr w14:val="tx1"/>
            </w14:solidFill>
          </w14:textFill>
        </w:rPr>
        <w:t>密码为BUCEA+学号后6位</w:t>
      </w:r>
      <w:r>
        <w:rPr>
          <w:rFonts w:hint="eastAsia" w:ascii="仿宋_GB2312" w:eastAsia="仿宋_GB2312"/>
          <w:kern w:val="2"/>
          <w:sz w:val="32"/>
          <w:szCs w:val="32"/>
        </w:rPr>
        <w:t>）-点击“确认绑定”。</w:t>
      </w:r>
      <w:r>
        <w:rPr>
          <w:rFonts w:hint="eastAsia" w:ascii="仿宋_GB2312" w:eastAsia="仿宋_GB2312"/>
          <w:kern w:val="2"/>
          <w:sz w:val="32"/>
          <w:szCs w:val="32"/>
          <w:u w:val="single"/>
        </w:rPr>
        <w:t>初次登录需进行身份绑定，若此前已绑定过，请跳过此步骤，直接按照以下步骤操作即可。</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2.进入登录学习页面：打开浏览器，输入网址：</w:t>
      </w:r>
      <w:r>
        <w:rPr>
          <w:rFonts w:ascii="仿宋_GB2312" w:eastAsia="仿宋_GB2312"/>
          <w:kern w:val="2"/>
          <w:sz w:val="32"/>
          <w:szCs w:val="32"/>
        </w:rPr>
        <w:t>https://yjscbucea.yuketang.cn/</w:t>
      </w:r>
      <w:r>
        <w:rPr>
          <w:rFonts w:hint="eastAsia" w:ascii="仿宋_GB2312" w:eastAsia="仿宋_GB2312"/>
          <w:kern w:val="2"/>
          <w:sz w:val="32"/>
          <w:szCs w:val="32"/>
        </w:rPr>
        <w:t>，点击右上角“登录”按钮，使用已绑定身份的微信扫码即可登录（建议使用谷歌、火狐浏览器）。</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3.课程学习：登录完成后，在“课程班级”界面，查看本人所选课程，点击班级进入学习界面，分别完成课件视频学习、作业及考试。</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4.在线考试：完成所有视频学习后，在规定的时间登录学习平台，完成在线考试。</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5.移动端学习：如不方便使用电脑进行学习，可下载“学堂云app”进行课程学习。</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6.问题解决：系统操作过程中遇到任何问题，可通过邮箱或电话咨询：</w:t>
      </w:r>
    </w:p>
    <w:p>
      <w:pPr>
        <w:pStyle w:val="5"/>
        <w:widowControl/>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仿宋_GB2312" w:eastAsia="仿宋_GB2312" w:cs="仿宋_GB2312"/>
          <w:sz w:val="32"/>
          <w:szCs w:val="32"/>
        </w:rPr>
        <w:t>邮箱：</w:t>
      </w:r>
      <w:r>
        <w:fldChar w:fldCharType="begin"/>
      </w:r>
      <w:r>
        <w:instrText xml:space="preserve"> HYPERLINK "mailto:bsupport@xuetangx.com" </w:instrText>
      </w:r>
      <w:r>
        <w:fldChar w:fldCharType="separate"/>
      </w:r>
      <w:r>
        <w:rPr>
          <w:rFonts w:hint="eastAsia" w:ascii="仿宋_GB2312" w:eastAsia="仿宋_GB2312"/>
          <w:kern w:val="2"/>
          <w:sz w:val="32"/>
          <w:szCs w:val="32"/>
        </w:rPr>
        <w:t>bsupport</w:t>
      </w:r>
      <w:r>
        <w:rPr>
          <w:rFonts w:hint="eastAsia" w:ascii="Malgun Gothic Semilight" w:hAnsi="Malgun Gothic Semilight" w:eastAsia="Malgun Gothic Semilight" w:cs="Malgun Gothic Semilight"/>
          <w:kern w:val="2"/>
          <w:sz w:val="32"/>
          <w:szCs w:val="32"/>
        </w:rPr>
        <w:t>@</w:t>
      </w:r>
      <w:r>
        <w:rPr>
          <w:rFonts w:hint="eastAsia" w:ascii="仿宋_GB2312" w:eastAsia="仿宋_GB2312"/>
          <w:kern w:val="2"/>
          <w:sz w:val="32"/>
          <w:szCs w:val="32"/>
        </w:rPr>
        <w:t>xuetangx.com</w:t>
      </w:r>
      <w:r>
        <w:rPr>
          <w:rFonts w:hint="eastAsia" w:ascii="仿宋_GB2312" w:eastAsia="仿宋_GB2312"/>
          <w:kern w:val="2"/>
          <w:sz w:val="32"/>
          <w:szCs w:val="32"/>
        </w:rPr>
        <w:fldChar w:fldCharType="end"/>
      </w:r>
    </w:p>
    <w:p>
      <w:pPr>
        <w:pStyle w:val="5"/>
        <w:widowControl/>
        <w:shd w:val="clear" w:color="auto" w:fill="FFFFFF"/>
        <w:spacing w:beforeAutospacing="0" w:afterAutospacing="0" w:line="560" w:lineRule="exact"/>
        <w:ind w:firstLine="640" w:firstLineChars="200"/>
        <w:jc w:val="both"/>
        <w:rPr>
          <w:rFonts w:ascii="仿宋_GB2312" w:eastAsia="仿宋_GB2312" w:cs="仿宋_GB2312"/>
          <w:sz w:val="32"/>
          <w:szCs w:val="32"/>
        </w:rPr>
      </w:pPr>
      <w:r>
        <w:rPr>
          <w:rFonts w:hint="eastAsia" w:ascii="仿宋_GB2312" w:eastAsia="仿宋_GB2312"/>
          <w:kern w:val="2"/>
          <w:sz w:val="32"/>
          <w:szCs w:val="32"/>
        </w:rPr>
        <w:t>电话：400-099-6061（工作时间：周一至周五</w:t>
      </w:r>
      <w:r>
        <w:rPr>
          <w:rFonts w:hint="eastAsia" w:ascii="仿宋_GB2312" w:eastAsia="仿宋_GB2312" w:cs="仿宋_GB2312"/>
          <w:sz w:val="32"/>
          <w:szCs w:val="32"/>
        </w:rPr>
        <w:t>9:00-18:00）</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请各学院做好组织工作，督促相关研究生在规定时间内完成课程学习。</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：2022/2023学年第二学期研究生网络课程选课名单</w:t>
      </w:r>
    </w:p>
    <w:p>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2</w:t>
      </w:r>
      <w:r>
        <w:rPr>
          <w:rFonts w:hint="eastAsia" w:eastAsia="仿宋_GB2312"/>
          <w:sz w:val="32"/>
          <w:szCs w:val="32"/>
        </w:rPr>
        <w:t>：学堂云学生操作手册</w:t>
      </w:r>
    </w:p>
    <w:p>
      <w:pPr>
        <w:spacing w:line="560" w:lineRule="exact"/>
        <w:rPr>
          <w:rFonts w:eastAsia="仿宋_GB2312"/>
          <w:sz w:val="32"/>
          <w:szCs w:val="32"/>
        </w:rPr>
      </w:pPr>
    </w:p>
    <w:p>
      <w:pPr>
        <w:spacing w:line="560" w:lineRule="exact"/>
        <w:ind w:firstLine="640" w:firstLineChars="200"/>
        <w:rPr>
          <w:rFonts w:eastAsia="仿宋_GB2312"/>
          <w:sz w:val="32"/>
          <w:szCs w:val="32"/>
        </w:rPr>
      </w:pP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 xml:space="preserve">                               北京建筑大学研究生院</w:t>
      </w:r>
    </w:p>
    <w:p>
      <w:pPr>
        <w:spacing w:line="560" w:lineRule="exact"/>
        <w:ind w:right="640"/>
        <w:jc w:val="right"/>
        <w:rPr>
          <w:rFonts w:ascii="仿宋_GB2312" w:hAnsi="仿宋" w:eastAsia="仿宋_GB2312"/>
          <w:sz w:val="32"/>
          <w:szCs w:val="32"/>
        </w:rPr>
      </w:pPr>
      <w:r>
        <w:rPr>
          <w:rFonts w:hint="eastAsia" w:ascii="仿宋_GB2312" w:hAnsi="仿宋" w:eastAsia="仿宋_GB2312"/>
          <w:sz w:val="32"/>
          <w:szCs w:val="32"/>
        </w:rPr>
        <w:t>2023年5月6日</w:t>
      </w:r>
    </w:p>
    <w:p>
      <w:pPr>
        <w:spacing w:line="560" w:lineRule="exact"/>
        <w:ind w:right="640"/>
        <w:jc w:val="right"/>
        <w:rPr>
          <w:rFonts w:ascii="仿宋_GB2312" w:hAnsi="仿宋" w:eastAsia="仿宋_GB2312"/>
          <w:sz w:val="32"/>
          <w:szCs w:val="32"/>
        </w:rPr>
      </w:pPr>
    </w:p>
    <w:p>
      <w:pPr>
        <w:spacing w:line="560" w:lineRule="exact"/>
        <w:ind w:right="640"/>
        <w:jc w:val="right"/>
        <w:rPr>
          <w:rFonts w:ascii="仿宋_GB2312" w:hAnsi="仿宋" w:eastAsia="仿宋_GB2312"/>
          <w:sz w:val="32"/>
          <w:szCs w:val="32"/>
        </w:rPr>
      </w:pPr>
    </w:p>
    <w:p>
      <w:pPr>
        <w:spacing w:line="560" w:lineRule="exact"/>
        <w:ind w:right="640"/>
        <w:jc w:val="right"/>
        <w:rPr>
          <w:rFonts w:ascii="仿宋_GB2312" w:hAnsi="仿宋" w:eastAsia="仿宋_GB2312"/>
          <w:sz w:val="32"/>
          <w:szCs w:val="32"/>
        </w:rPr>
      </w:pPr>
    </w:p>
    <w:p>
      <w:pPr>
        <w:spacing w:line="560" w:lineRule="exact"/>
        <w:ind w:right="640"/>
        <w:jc w:val="right"/>
        <w:rPr>
          <w:rFonts w:ascii="仿宋_GB2312" w:hAnsi="仿宋" w:eastAsia="仿宋_GB2312"/>
          <w:sz w:val="32"/>
          <w:szCs w:val="32"/>
        </w:rPr>
      </w:pPr>
    </w:p>
    <w:p>
      <w:pPr>
        <w:spacing w:line="360" w:lineRule="auto"/>
        <w:jc w:val="center"/>
        <w:rPr>
          <w:rFonts w:eastAsia="仿宋_GB2312"/>
          <w:sz w:val="24"/>
        </w:rPr>
      </w:pP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-3810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3pt;height:0pt;width:442.2pt;mso-position-horizontal:center;mso-position-horizontal-relative:margin;z-index:251661312;mso-width-relative:page;mso-height-relative:page;" filled="f" stroked="t" coordsize="21600,21600" o:gfxdata="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k6sY&#10;0wAAAAQBAAAPAAAAAAAAAAEAIAAAACIAAABkcnMvZG93bnJldi54bWxQSwECFAAUAAAACACHTuJA&#10;iiRcbu0BAADYAwAADgAAAAAAAAABACAAAAAiAQAAZHJzL2Uyb0RvYy54bWxQSwUGAAAAAAYABgBZ&#10;AQAAgQUAAAAA&#10;">
                <v:fill on="f" focussize="0,0"/>
                <v:stroke color="#000000" joinstyle="round"/>
                <v:imagedata o:title=""/>
                <o:lock v:ext="edit" aspectratio="f"/>
              </v:line>
            </w:pict>
          </mc:Fallback>
        </mc:AlternateContent>
      </w:r>
      <w:r>
        <w:rPr>
          <w:rFonts w:eastAsia="仿宋_GB2312"/>
          <w:sz w:val="28"/>
          <w:szCs w:val="28"/>
        </w:rPr>
        <w:t>北京建筑大学</w:t>
      </w:r>
      <w:r>
        <w:rPr>
          <w:rFonts w:hint="eastAsia" w:eastAsia="仿宋_GB2312"/>
          <w:sz w:val="28"/>
          <w:szCs w:val="28"/>
        </w:rPr>
        <w:t>研究生院</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ascii="仿宋_GB2312" w:eastAsia="仿宋_GB2312"/>
          <w:sz w:val="28"/>
          <w:szCs w:val="28"/>
        </w:rPr>
        <w:t>2023年5月6日</w:t>
      </w:r>
      <w:r>
        <w:rPr>
          <w:rFonts w:ascii="仿宋_GB2312" w:eastAsia="仿宋_GB2312"/>
          <w:sz w:val="28"/>
          <w:szCs w:val="28"/>
        </w:rPr>
        <w:t>印</w:t>
      </w:r>
      <w:r>
        <w:rPr>
          <w:rFonts w:hint="eastAsia" w:ascii="仿宋_GB2312" w:eastAsia="仿宋_GB2312"/>
          <w:sz w:val="28"/>
          <w:szCs w:val="28"/>
        </w:rPr>
        <w:t>发</w:t>
      </w:r>
    </w:p>
    <w:p>
      <w:pPr>
        <w:spacing w:line="40" w:lineRule="exact"/>
      </w:pPr>
      <w:r>
        <w:rPr>
          <w:rFonts w:eastAsia="仿宋_GB2312"/>
          <w:sz w:val="24"/>
        </w:rPr>
        <mc:AlternateContent>
          <mc:Choice Requires="wps">
            <w:drawing>
              <wp:anchor distT="0" distB="0" distL="114300" distR="114300" simplePos="0" relativeHeight="251662336" behindDoc="0" locked="0" layoutInCell="1" allowOverlap="1">
                <wp:simplePos x="0" y="0"/>
                <wp:positionH relativeFrom="margin">
                  <wp:posOffset>-1905</wp:posOffset>
                </wp:positionH>
                <wp:positionV relativeFrom="paragraph">
                  <wp:posOffset>4445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5pt;margin-top:0.35pt;height:0pt;width:442.2pt;mso-position-horizontal-relative:margin;z-index:251662336;mso-width-relative:page;mso-height-relative:page;" filled="f" stroked="t" coordsize="21600,21600" o:gfxdata="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5lXe&#10;0wAAAAMBAAAPAAAAAAAAAAEAIAAAACIAAABkcnMvZG93bnJldi54bWxQSwECFAAUAAAACACHTuJA&#10;5PGkk+0BAADZAwAADgAAAAAAAAABACAAAAAiAQAAZHJzL2Uyb0RvYy54bWxQSwUGAAAAAAYABgBZ&#10;AQAAgQUAAAAA&#10;">
                <v:fill on="f" focussize="0,0"/>
                <v:stroke weight="1pt" color="#000000" joinstyle="round"/>
                <v:imagedata o:title=""/>
                <o:lock v:ext="edit" aspectratio="f"/>
              </v:line>
            </w:pict>
          </mc:Fallback>
        </mc:AlternateContent>
      </w:r>
    </w:p>
    <w:p>
      <w:pPr>
        <w:spacing w:line="40" w:lineRule="exact"/>
      </w:pPr>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黑体"/>
    <w:panose1 w:val="00000000000000000000"/>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GFkMzY3YzMxMzA1ZjkyZGI2NzJkZTZkYTBiYmMifQ=="/>
  </w:docVars>
  <w:rsids>
    <w:rsidRoot w:val="40D85706"/>
    <w:rsid w:val="000A1E05"/>
    <w:rsid w:val="001C2098"/>
    <w:rsid w:val="00200763"/>
    <w:rsid w:val="003B3F52"/>
    <w:rsid w:val="0048046E"/>
    <w:rsid w:val="00542F32"/>
    <w:rsid w:val="005578BD"/>
    <w:rsid w:val="00575FB5"/>
    <w:rsid w:val="006029F1"/>
    <w:rsid w:val="00616DDD"/>
    <w:rsid w:val="006E3A13"/>
    <w:rsid w:val="007C321F"/>
    <w:rsid w:val="00801D0C"/>
    <w:rsid w:val="008316D5"/>
    <w:rsid w:val="008F5673"/>
    <w:rsid w:val="009317A8"/>
    <w:rsid w:val="009C7965"/>
    <w:rsid w:val="00B339F7"/>
    <w:rsid w:val="00B6008E"/>
    <w:rsid w:val="00BC65A5"/>
    <w:rsid w:val="00E15FA1"/>
    <w:rsid w:val="00F0560E"/>
    <w:rsid w:val="00F801EE"/>
    <w:rsid w:val="01154141"/>
    <w:rsid w:val="034C18C2"/>
    <w:rsid w:val="040553AD"/>
    <w:rsid w:val="06D213E2"/>
    <w:rsid w:val="06E0198A"/>
    <w:rsid w:val="08640BE9"/>
    <w:rsid w:val="0B3F7370"/>
    <w:rsid w:val="0F8454BD"/>
    <w:rsid w:val="11817393"/>
    <w:rsid w:val="120D5688"/>
    <w:rsid w:val="12582CFA"/>
    <w:rsid w:val="12B07685"/>
    <w:rsid w:val="153C2F05"/>
    <w:rsid w:val="15F967A4"/>
    <w:rsid w:val="1C3F05FF"/>
    <w:rsid w:val="1F230532"/>
    <w:rsid w:val="1F2D67C7"/>
    <w:rsid w:val="1F9D5461"/>
    <w:rsid w:val="21416AA9"/>
    <w:rsid w:val="216300C4"/>
    <w:rsid w:val="22432CB6"/>
    <w:rsid w:val="22EE7092"/>
    <w:rsid w:val="23D17B22"/>
    <w:rsid w:val="272918A9"/>
    <w:rsid w:val="29343959"/>
    <w:rsid w:val="2AB45FDE"/>
    <w:rsid w:val="2BC96AC2"/>
    <w:rsid w:val="2CDB78B2"/>
    <w:rsid w:val="2F1E78AE"/>
    <w:rsid w:val="2F5867C3"/>
    <w:rsid w:val="33C04DDD"/>
    <w:rsid w:val="341A3513"/>
    <w:rsid w:val="34D36172"/>
    <w:rsid w:val="39C46EC5"/>
    <w:rsid w:val="3F6A2768"/>
    <w:rsid w:val="40D85706"/>
    <w:rsid w:val="466A1D63"/>
    <w:rsid w:val="4BD45DB0"/>
    <w:rsid w:val="4C5017B6"/>
    <w:rsid w:val="518C0715"/>
    <w:rsid w:val="542C092A"/>
    <w:rsid w:val="55ED2232"/>
    <w:rsid w:val="572E6032"/>
    <w:rsid w:val="574C4D04"/>
    <w:rsid w:val="5B661832"/>
    <w:rsid w:val="5E2666A2"/>
    <w:rsid w:val="5FE14B34"/>
    <w:rsid w:val="63A77AE0"/>
    <w:rsid w:val="648D57CF"/>
    <w:rsid w:val="66D70AD7"/>
    <w:rsid w:val="6D6F1588"/>
    <w:rsid w:val="6DA80DD3"/>
    <w:rsid w:val="6EF959D8"/>
    <w:rsid w:val="6F810D02"/>
    <w:rsid w:val="6FC10335"/>
    <w:rsid w:val="72337CCA"/>
    <w:rsid w:val="72BB3987"/>
    <w:rsid w:val="73205ED9"/>
    <w:rsid w:val="743D1374"/>
    <w:rsid w:val="78FA7600"/>
    <w:rsid w:val="7ABB320B"/>
    <w:rsid w:val="7DBD092F"/>
    <w:rsid w:val="7E5E20AB"/>
    <w:rsid w:val="7E6A03DA"/>
    <w:rsid w:val="7EEE6BCD"/>
    <w:rsid w:val="7F1A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字符"/>
    <w:basedOn w:val="7"/>
    <w:link w:val="4"/>
    <w:qFormat/>
    <w:uiPriority w:val="0"/>
    <w:rPr>
      <w:rFonts w:ascii="Times New Roman" w:hAnsi="Times New Roman"/>
      <w:kern w:val="2"/>
      <w:sz w:val="18"/>
      <w:szCs w:val="18"/>
    </w:rPr>
  </w:style>
  <w:style w:type="character" w:customStyle="1" w:styleId="9">
    <w:name w:val="日期 字符"/>
    <w:basedOn w:val="7"/>
    <w:link w:val="2"/>
    <w:qFormat/>
    <w:uiPriority w:val="0"/>
    <w:rPr>
      <w:rFonts w:ascii="Times New Roman" w:hAnsi="Times New Roman"/>
      <w:kern w:val="2"/>
      <w:sz w:val="21"/>
      <w:szCs w:val="24"/>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1799</Words>
  <Characters>1957</Characters>
  <Lines>15</Lines>
  <Paragraphs>4</Paragraphs>
  <TotalTime>114</TotalTime>
  <ScaleCrop>false</ScaleCrop>
  <LinksUpToDate>false</LinksUpToDate>
  <CharactersWithSpaces>2059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2020-02-20T08:49:00Z</dcterms:created>
  <dc:creator>李子墨</dc:creator>
  <cp:lastModifiedBy>李子墨</cp:lastModifiedBy>
  <dcterms:modified xsi:type="dcterms:W3CDTF">2023-05-05T01:26:38Z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57FD55A705464C5C96A4D1EE78D5A9C8</vt:lpwstr>
  </property>
  <property fmtid="{D5CDD505-2E9C-101B-9397-08002B2CF9AE}" pid="4" name="commondata">
    <vt:lpwstr>eyJoZGlkIjoiOWUyZGFkMzY3YzMxMzA1ZjkyZGI2NzJkZTZkYTBiYmMifQ==</vt:lpwstr>
  </property>
</Properties>
</file>